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ASSOCIATION MARRE DE CAFE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STATUTS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*****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Art. 1  - Forme juridique, but et siège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Par les présents statuts, il est créé une association à but non lucratif, dont le nom est « Marre de Café», qui est régie par les articles 60 et suivants du Code civil suisse.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Art. 2 – Buts de l’association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ab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L’association a pour but  de fournir aide et soutien aux jeunes autodidactes de 15 à 22 ans préparant l’examen de maturité fédérale en candidats libres.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Elle participe à la recherche en éducation.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3 – Moyens 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Pour réaliser ses buts, l’association met à disposition, notamment, un espace de co-working, des plateformes informatiques collaboratives et des ressources pédagogiques.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jeunes sont accompagnés par un adulte, enseignant du secondaire et formé dans l’accompagnement et le développement personnel (ci-après : l’accompagnant) qui leur apporte aide et soutien, notamment, dans 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493" w:leader="none"/>
        </w:tabs>
        <w:jc w:val="both"/>
        <w:rPr/>
      </w:pPr>
      <w:r>
        <w:rPr/>
        <w:t>la recherche des ressources pédagogiques adaptées à leur projet d’étude (supports de cours, etc) ;</w:t>
      </w:r>
    </w:p>
    <w:p>
      <w:pPr>
        <w:pStyle w:val="ListParagraph"/>
        <w:numPr>
          <w:ilvl w:val="0"/>
          <w:numId w:val="3"/>
        </w:numPr>
        <w:tabs>
          <w:tab w:val="left" w:pos="493" w:leader="none"/>
        </w:tabs>
        <w:jc w:val="both"/>
        <w:rPr/>
      </w:pPr>
      <w:r>
        <w:rPr/>
        <w:t>la définition de leurs objectifs (programme, rythme d’étude, etc) ;</w:t>
      </w:r>
    </w:p>
    <w:p>
      <w:pPr>
        <w:pStyle w:val="ListParagraph"/>
        <w:numPr>
          <w:ilvl w:val="0"/>
          <w:numId w:val="3"/>
        </w:numPr>
        <w:tabs>
          <w:tab w:val="left" w:pos="493" w:leader="none"/>
        </w:tabs>
        <w:jc w:val="both"/>
        <w:rPr/>
      </w:pPr>
      <w:r>
        <w:rPr/>
        <w:t>la recherche personnelle d’une méthodologie propre et efficiente ;</w:t>
      </w:r>
    </w:p>
    <w:p>
      <w:pPr>
        <w:pStyle w:val="ListParagraph"/>
        <w:numPr>
          <w:ilvl w:val="0"/>
          <w:numId w:val="3"/>
        </w:numPr>
        <w:tabs>
          <w:tab w:val="left" w:pos="493" w:leader="none"/>
        </w:tabs>
        <w:jc w:val="both"/>
        <w:rPr/>
      </w:pPr>
      <w:r>
        <w:rPr/>
        <w:t>l’élaboration de leur travail de maturité (méthodologique, le contenu devant être supervisé par un professionnel du domaine choisi) ;</w:t>
      </w:r>
    </w:p>
    <w:p>
      <w:pPr>
        <w:pStyle w:val="ListParagraph"/>
        <w:numPr>
          <w:ilvl w:val="0"/>
          <w:numId w:val="3"/>
        </w:numPr>
        <w:tabs>
          <w:tab w:val="left" w:pos="493" w:leader="none"/>
        </w:tabs>
        <w:jc w:val="both"/>
        <w:rPr/>
      </w:pPr>
      <w:r>
        <w:rPr/>
        <w:t xml:space="preserve">l’accompagnement personnel (motivation, questionnements, etc)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L’accompagnant est également gardien des règles de vie communautaire prévalant dans l’espace de co-working, que les jeunes ont établies et réactualisent ensemble régulièrement.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4 – Siège de l’association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Le siège de l’association est dans le canton de Vaud.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5 – Durée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La durée de l’association est illimitée.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6 – Revenus de l’association 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L’association tire ses revenus des cotisations de ses membres, des dons, des subventions des pouvoirs publics et des produits de ses activités.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Ses engagements sont garantis par ses biens, à l’exclusion de toute responsabilité personnelle de ses membres.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 xml:space="preserve">Art. 8 -  Organisation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Les organes de l’association  sont :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 xml:space="preserve">l’assemblée générale 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le comité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l’organe externe de révision des comptes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 xml:space="preserve">Art. 9 – Période d’exercice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L’exercice social commence le 1</w:t>
      </w:r>
      <w:r>
        <w:rPr>
          <w:vertAlign w:val="superscript"/>
        </w:rPr>
        <w:t>er</w:t>
      </w:r>
      <w:r>
        <w:rPr/>
        <w:t xml:space="preserve"> janvier et se termine le 31 décembre de chaque année.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Membres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10 – Adhésion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i/>
          <w:i/>
        </w:rPr>
      </w:pPr>
      <w:r>
        <w:rPr>
          <w:i/>
        </w:rPr>
        <w:t>Membres actifs 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Peuvent devenir membres de l’association les jeunes de 15 à 22 ans souhaitant préparer en autodidactes la maturité fédérale, qui versent la cotisation annuelle et dont la candidature est acceptée par le comité.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i/>
          <w:i/>
        </w:rPr>
      </w:pPr>
      <w:r>
        <w:rPr>
          <w:i/>
        </w:rPr>
        <w:t>Membres passifs 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Toute personne qui souhaite soutenir idéalement et financièrement l’association, ou qui déclare vouloir se dévouer personnellement et bénévolement à la réalisation de ses buts,  peut devenir membre de l’association, si sa candidature est acceptée par le comité.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bénévoles sont exemptés du paiement des cotisations.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i/>
          <w:i/>
        </w:rPr>
      </w:pPr>
      <w:r>
        <w:rPr>
          <w:i/>
        </w:rPr>
        <w:t>Procédure d’adhésion 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demandes d’adhésion à l’association sont adressées au comité. Ce dernier décide de l’admission et informe l’assemblée générale de sa décision.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11 – Perte de la qualité de membre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La qualité de membre se perd 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493" w:leader="none"/>
        </w:tabs>
        <w:jc w:val="both"/>
        <w:rPr/>
      </w:pPr>
      <w:r>
        <w:rPr/>
        <w:t>par la démission. Dans ces cas, la cotisation de l’année reste due à l’association.</w:t>
      </w:r>
    </w:p>
    <w:p>
      <w:pPr>
        <w:pStyle w:val="ListParagraph"/>
        <w:tabs>
          <w:tab w:val="left" w:pos="4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493" w:leader="none"/>
        </w:tabs>
        <w:jc w:val="both"/>
        <w:rPr/>
      </w:pPr>
      <w:r>
        <w:rPr/>
        <w:t>Par l’exclusion pour de justes motifs soit, notamment, lorsque le comportement du membre n’est plus compatible avec les valeurs ou le bon fonctionnement de l’association.</w:t>
      </w:r>
    </w:p>
    <w:p>
      <w:pPr>
        <w:pStyle w:val="ListParagraph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ind w:left="360" w:hanging="0"/>
        <w:jc w:val="both"/>
        <w:rPr/>
      </w:pPr>
      <w:r>
        <w:rPr/>
        <w:t>L’exclusion est du ressort du comité. La personne concernée peut recourir contre cette décision devant l’assemblée générale. Le non paiement répété des cotisations (deux ans) entraîne l’exclusion de l’association.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 12  - Salariés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 comité engage et licencie les salariés de l’association et établit leur cahier des charges.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Assemblée générale 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 13  - En général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L’assemblée générale est le pouvoir suprême de l’association. Elle comprend tous les membres de celle-ci.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14 - Compétences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compétences de l’Assemblée générale sont les suivantes. Elle :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adopte et modifie les statuts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élit les membres du comité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choisit l’organe externe de contrôle des comptes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détermine les orientations de travail et dirige les activités de l’association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approuve les rapports, adopte les comptes et vote le budget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donne décharge de leur mandat au comité et à l’organe externe de contrôle des comptes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fixe la cotisation annuelle des membres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prend position sur les objets portés à l’ordre du jour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L’assemblée générale peut se saisir ou être saisie de tout objet qu’elle n’a pas confié à un autre organe.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15 - Convocation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assemblées sont convoquées au moins 20 jours à l’avance par le comité. Celui-ci peut convoquer des assemblées générales extraordinaires aussi souvent que le besoin s’en fait sentir.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16 - Présidence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L’assemblée générale est présidée par le président du comité, cas échéant l’un des deux co-présidents, ou par un autre membre du comité désigné à cet effet.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17 - Majorités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Les décisions de l’assemblée générale sont prises à la majorité simple des membres présents.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membres fondateurs disposent de deux voix.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En cas d’égalité des voix, celle du président ou la voix unique des co-présidents est prépondérante.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La modification des statuts requiert la majorité des deux tiers des membres présents ou représentés.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18 – Modalités de vote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Les votations ont lieu à main levée. À la demande de cinq membres au moins, elles auront lieu au scrutin secret. Le vote par procuration est possible.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19 – Fréquence des assemblées générales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L’assemblée se réunit au moins une fois par an sur convocation du comité.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 xml:space="preserve">Art. 20 – Ordre du jour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L’ordre du jour de cette assemblée annuelle (dite ordinaire) comprend au minimum 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le rapport du comité sur l’activité de l’association pendant l’année écoulée 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un échange de points de vue concernant le développement de l’association 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le rapport de l’organe de contrôle des comptes 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l’élection des membres du comité et de l’organe de contrôle des comptes 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les propositions individuelles.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 comité est tenu de porter à l’ordre du jour de l’assemblée générale (ordinaire ou extraordinaire) toute proposition d’un membre présentée par écrit au moins 10 jours à l’avance.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21 – Assemblée générale extraordinaire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L’assemblée générale extraordinaire se réunit sur convocation du comité ou à la demande d’un cinquième des membres de l’association.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Comité</w:t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22 – Tâches et compétences</w:t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Le comité exécute et applique les décisions de l’assemblée générale. Il conduit l’association et prend toutes les mesures utiles pour que le but fixé soit atteint.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Il est chargé, en outre :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de convoquer les assemblées générales ordinaires et extraordinaires 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de prendre les décisions relatives à l’admission et à la démission des membres ainsi qu’à leur exclusion éventuelle 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de veiller à l’application des statuts, de rédiger les règlements et d’administrer les biens de l’association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d’engager (ou de licencier) les membres du personnel du centre et les bénévoles, et d’établir leur cahier des charges.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jc w:val="both"/>
        <w:rPr/>
      </w:pPr>
      <w:r>
        <w:rPr/>
        <w:t>de diriger le centre Faire l’Ecole En Liberté tant qu’une directrice ou un directeur n’est pas engagé à cette fin.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 comité statue sur tous les points qui ne sont pas expressément réservés à l’Assemblée générale.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23 - Composition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 comité est composé de deux à neuf membres, nommés pour deux ans par l’assemblée générale. Ils sont rééligibles deux fois. Le comité se constitue lui-même. Il se réunit autant de fois que les affaires de l’association l’exigent.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24 - Signature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L’association est valablement engagée par la signature de son président et d’un membre du comité ou, cas échéant, de ses deux co-présidents.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25 – Tenue des comptes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Le comité est responsable de la tenue des comptes de l’association.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 xml:space="preserve">Organe de contrôle des comptes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26 – Tâches et caractéristiques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L’organe de contrôle des comptes vérifie la gestion financière de l’association et dresse annuellement un rapport à l’attention de l’assemblée générale. Il est extérieur à l’association. 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>
          <w:b/>
          <w:b/>
        </w:rPr>
      </w:pPr>
      <w:r>
        <w:rPr>
          <w:b/>
        </w:rPr>
        <w:t>Art. 27 Dissolution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>La dissolution de l’association est décidée par l’assemblée générale à la majorité des deux tiers des membres présents. L’actif éventuel sera attribué à un organisme en lien avec le domaine de l’éducation.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center"/>
        <w:rPr/>
      </w:pPr>
      <w:r>
        <w:rPr/>
        <w:t>*************</w:t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</w:r>
    </w:p>
    <w:p>
      <w:pPr>
        <w:pStyle w:val="Normal"/>
        <w:tabs>
          <w:tab w:val="left" w:pos="493" w:leader="none"/>
        </w:tabs>
        <w:jc w:val="both"/>
        <w:rPr/>
      </w:pPr>
      <w:r>
        <w:rPr/>
        <w:t xml:space="preserve">Adoption des statuts : </w:t>
      </w:r>
      <w:r>
        <w:rPr/>
        <w:t>16/01/2017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8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numFmt w:val="bullet"/>
      <w:lvlText w:val="-"/>
      <w:lvlJc w:val="left"/>
      <w:pPr>
        <w:ind w:left="8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2bc"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802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LibreOffice/4.4.3.2$MacOSX_X86_64 LibreOffice_project/88805f81e9fe61362df02b9941de8e38a9b5fd16</Application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2017-01-25T09:16:00Z</dcterms:created>
  <dc:creator>Mical Vuataz Staquet</dc:creator>
  <dc:language>fr-FR</dc:language>
  <cp:lastPrinted>2016-10-02T15:16:00Z</cp:lastPrinted>
  <dcterms:modified xsi:type="dcterms:W3CDTF">2018-06-06T14:31:17Z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